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3C8C" w14:textId="28531F7E" w:rsidR="001019E4" w:rsidRPr="005F2CB8" w:rsidRDefault="001019E4" w:rsidP="001019E4">
      <w:pPr>
        <w:pStyle w:val="Heading1"/>
        <w:ind w:right="545"/>
        <w:rPr>
          <w:color w:val="1F4E79"/>
        </w:rPr>
      </w:pPr>
      <w:r>
        <w:rPr>
          <w:rStyle w:val="Heading1"/>
          <w:color w:val="1F4E79"/>
        </w:rPr>
        <w:t>Point 18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 xml:space="preserve">ordre du jour : </w:t>
      </w:r>
      <w:bookmarkStart w:id="0" w:name="_GoBack"/>
      <w:bookmarkEnd w:id="0"/>
      <w:r>
        <w:rPr>
          <w:rStyle w:val="Heading1"/>
          <w:color w:val="1F4E79"/>
        </w:rPr>
        <w:t xml:space="preserve">réunion avec le Comité consultatif At-Large (ALAC) </w:t>
      </w:r>
    </w:p>
    <w:p w14:paraId="16FEB276" w14:textId="77777777" w:rsidR="001019E4" w:rsidRPr="00D57B30" w:rsidRDefault="001019E4" w:rsidP="001019E4">
      <w:pPr>
        <w:pStyle w:val="Heading2"/>
      </w:pPr>
      <w:r>
        <w:rPr>
          <w:rStyle w:val="Heading2"/>
        </w:rPr>
        <w:t>Problématiques</w:t>
      </w:r>
    </w:p>
    <w:p w14:paraId="4411060D" w14:textId="77777777" w:rsidR="001019E4" w:rsidRPr="0043171A" w:rsidRDefault="001019E4" w:rsidP="001019E4">
      <w:pPr>
        <w:spacing w:after="200" w:line="276" w:lineRule="auto"/>
        <w:ind w:right="54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Style w:val="Normal"/>
          <w:rFonts w:ascii="Century Gothic" w:hAnsi="Century Gothic"/>
          <w:sz w:val="20"/>
        </w:rPr>
        <w:t>Les ordres du jour des réunions bilatérales du GAC de ce type ont tendance à changer jusqu</w:t>
      </w:r>
      <w:r>
        <w:rPr>
          <w:rStyle w:val="Normal"/>
          <w:rFonts w:ascii="Century Gothic" w:hAnsi="Century Gothic" w:cs="Century Gothic"/>
          <w:sz w:val="20"/>
          <w:cs/>
        </w:rPr>
        <w:t>’</w:t>
      </w:r>
      <w:r>
        <w:rPr>
          <w:rStyle w:val="Normal"/>
          <w:rFonts w:ascii="Century Gothic" w:hAnsi="Century Gothic"/>
          <w:sz w:val="20"/>
        </w:rPr>
        <w:t>à la dernière minute pour différentes raisons. Toutefois, les questions suivantes sont susceptibles d</w:t>
      </w:r>
      <w:r>
        <w:rPr>
          <w:rStyle w:val="Normal"/>
          <w:rFonts w:ascii="Century Gothic" w:hAnsi="Century Gothic" w:cs="Century Gothic"/>
          <w:sz w:val="20"/>
          <w:cs/>
        </w:rPr>
        <w:t>’</w:t>
      </w:r>
      <w:r>
        <w:rPr>
          <w:rStyle w:val="Normal"/>
          <w:rFonts w:ascii="Century Gothic" w:hAnsi="Century Gothic"/>
          <w:sz w:val="20"/>
        </w:rPr>
        <w:t>être soulevées :</w:t>
      </w:r>
    </w:p>
    <w:p w14:paraId="5C21E881" w14:textId="77777777" w:rsidR="001019E4" w:rsidRPr="0043171A" w:rsidRDefault="001019E4" w:rsidP="001019E4">
      <w:pPr>
        <w:pStyle w:val="ListParagraph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rPr>
          <w:rStyle w:val="ListParagraph"/>
        </w:rPr>
        <w:t>Introduction à l</w:t>
      </w:r>
      <w:r>
        <w:rPr>
          <w:rStyle w:val="ListParagraph"/>
          <w:cs/>
        </w:rPr>
        <w:t>’</w:t>
      </w:r>
      <w:r>
        <w:rPr>
          <w:rStyle w:val="ListParagraph"/>
        </w:rPr>
        <w:t>ALAC</w:t>
      </w:r>
    </w:p>
    <w:p w14:paraId="1BE17728" w14:textId="77777777" w:rsidR="001019E4" w:rsidRPr="00AD3D44" w:rsidRDefault="001019E4" w:rsidP="001019E4">
      <w:pPr>
        <w:pStyle w:val="ListParagraph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rPr>
          <w:rStyle w:val="ListParagraph"/>
        </w:rPr>
        <w:t>Règlement général sur la protection de données (RGPD)</w:t>
      </w:r>
    </w:p>
    <w:p w14:paraId="33A4E84A" w14:textId="77777777" w:rsidR="001019E4" w:rsidRPr="00C20FB7" w:rsidRDefault="001019E4" w:rsidP="001019E4">
      <w:pPr>
        <w:pStyle w:val="ListParagraph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rPr>
          <w:rStyle w:val="ListParagraph"/>
        </w:rPr>
        <w:t>Piste de travail 5 du PDP relatif aux procédures pour des séries ultérieures de nouveaux gTLD (noms géographiques)</w:t>
      </w:r>
    </w:p>
    <w:p w14:paraId="58701F8B" w14:textId="77777777" w:rsidR="001019E4" w:rsidRPr="00C20FB7" w:rsidRDefault="001019E4" w:rsidP="001019E4">
      <w:pPr>
        <w:pStyle w:val="ListParagraph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rPr>
          <w:rStyle w:val="ListParagraph"/>
        </w:rPr>
        <w:t>Déclaration conjointe ALAC-GAC permettant une participation inclusive, informée et significative à l</w:t>
      </w:r>
      <w:r>
        <w:rPr>
          <w:rStyle w:val="ListParagraph"/>
          <w:cs/>
        </w:rPr>
        <w:t>’</w:t>
      </w:r>
      <w:r>
        <w:rPr>
          <w:rStyle w:val="ListParagraph"/>
        </w:rPr>
        <w:t>ICANN.</w:t>
      </w:r>
    </w:p>
    <w:p w14:paraId="60770E55" w14:textId="77777777" w:rsidR="001019E4" w:rsidRDefault="001019E4" w:rsidP="001019E4">
      <w:pPr>
        <w:pStyle w:val="ListParagraph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rPr>
          <w:rStyle w:val="ListParagraph"/>
        </w:rPr>
        <w:t>Réponse au rapport final de la piste de travail 2 du CCWG-Responsabilité.</w:t>
      </w:r>
    </w:p>
    <w:p w14:paraId="526DAFDD" w14:textId="77777777" w:rsidR="001019E4" w:rsidRPr="00C20FB7" w:rsidRDefault="001019E4" w:rsidP="001019E4">
      <w:pPr>
        <w:pStyle w:val="ListParagraph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rPr>
          <w:rStyle w:val="ListParagraph"/>
        </w:rPr>
        <w:t>Révision indépendante de l</w:t>
      </w:r>
      <w:r>
        <w:rPr>
          <w:rStyle w:val="ListParagraph"/>
          <w:cs/>
        </w:rPr>
        <w:t>’</w:t>
      </w:r>
      <w:r>
        <w:rPr>
          <w:rStyle w:val="ListParagraph"/>
        </w:rPr>
        <w:t>ALAC.</w:t>
      </w:r>
    </w:p>
    <w:p w14:paraId="55009B15" w14:textId="77777777" w:rsidR="001019E4" w:rsidRDefault="001019E4" w:rsidP="001019E4">
      <w:pPr>
        <w:pStyle w:val="Heading2"/>
      </w:pPr>
      <w:r>
        <w:rPr>
          <w:rStyle w:val="Heading2"/>
        </w:rPr>
        <w:t>Action requise de la part du GAC</w:t>
      </w:r>
    </w:p>
    <w:p w14:paraId="134A60C1" w14:textId="77777777" w:rsidR="001019E4" w:rsidRPr="005F2CB8" w:rsidRDefault="001019E4" w:rsidP="001019E4">
      <w:pPr>
        <w:pStyle w:val="BodyText"/>
        <w:numPr>
          <w:ilvl w:val="0"/>
          <w:numId w:val="26"/>
        </w:numPr>
        <w:rPr>
          <w:b/>
          <w:color w:val="2E74B5"/>
        </w:rPr>
      </w:pPr>
      <w:r>
        <w:rPr>
          <w:rStyle w:val="BodyText"/>
          <w:b/>
          <w:color w:val="2E74B5"/>
        </w:rPr>
        <w:t>Introduction à l</w:t>
      </w:r>
      <w:r>
        <w:rPr>
          <w:rStyle w:val="BodyText"/>
          <w:rFonts w:cs="Century Gothic"/>
          <w:b/>
          <w:color w:val="2E74B5"/>
          <w:cs/>
        </w:rPr>
        <w:t>’</w:t>
      </w:r>
      <w:r>
        <w:rPr>
          <w:rStyle w:val="BodyText"/>
          <w:b/>
          <w:color w:val="2E74B5"/>
        </w:rPr>
        <w:t>ALAC</w:t>
      </w:r>
    </w:p>
    <w:p w14:paraId="276E83B6" w14:textId="77777777" w:rsidR="001019E4" w:rsidRDefault="001019E4" w:rsidP="001019E4">
      <w:pPr>
        <w:pStyle w:val="BodyText"/>
      </w:pPr>
      <w:r>
        <w:rPr>
          <w:rStyle w:val="BodyText"/>
        </w:rPr>
        <w:t>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présentera au GAC un aperçu de son rôle et de ses activités.</w:t>
      </w:r>
    </w:p>
    <w:p w14:paraId="55BFAE6A" w14:textId="77777777" w:rsidR="001019E4" w:rsidRPr="005F2CB8" w:rsidRDefault="001019E4" w:rsidP="001019E4">
      <w:pPr>
        <w:pStyle w:val="BodyText"/>
        <w:numPr>
          <w:ilvl w:val="0"/>
          <w:numId w:val="26"/>
        </w:numPr>
        <w:rPr>
          <w:b/>
          <w:color w:val="2E74B5"/>
          <w:szCs w:val="20"/>
        </w:rPr>
      </w:pPr>
      <w:r>
        <w:rPr>
          <w:rStyle w:val="BodyText"/>
          <w:b/>
          <w:color w:val="2E74B5"/>
        </w:rPr>
        <w:t>RGPD</w:t>
      </w:r>
    </w:p>
    <w:p w14:paraId="3592F56B" w14:textId="77777777" w:rsidR="001019E4" w:rsidRDefault="001019E4" w:rsidP="001019E4">
      <w:pPr>
        <w:pStyle w:val="BodyText"/>
        <w:rPr>
          <w:szCs w:val="20"/>
        </w:rPr>
      </w:pPr>
      <w:r>
        <w:rPr>
          <w:rStyle w:val="BodyText"/>
        </w:rPr>
        <w:t>Voir le document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information séparé pour le GAC au point 3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ordre du jour. Les questions seront plus élaborées au moment de la réunion avec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ALAC.</w:t>
      </w:r>
    </w:p>
    <w:p w14:paraId="61DDECB3" w14:textId="77777777" w:rsidR="001019E4" w:rsidRDefault="001019E4" w:rsidP="001019E4">
      <w:pPr>
        <w:pStyle w:val="BodyText"/>
        <w:rPr>
          <w:szCs w:val="20"/>
        </w:rPr>
      </w:pPr>
      <w:r>
        <w:rPr>
          <w:rStyle w:val="BodyText"/>
        </w:rPr>
        <w:t>Il semble que ce sera surtout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occasion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un échange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opinions sur les développements les plus récents, en particulier la spécification temporaire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 et le PDP accéléré proposé.</w:t>
      </w:r>
    </w:p>
    <w:p w14:paraId="19CE7F46" w14:textId="77777777" w:rsidR="001019E4" w:rsidRPr="00AD3D44" w:rsidRDefault="001019E4" w:rsidP="001019E4">
      <w:pPr>
        <w:pStyle w:val="BodyText"/>
        <w:rPr>
          <w:szCs w:val="20"/>
        </w:rPr>
      </w:pPr>
      <w:r>
        <w:rPr>
          <w:rStyle w:val="BodyText"/>
        </w:rPr>
        <w:t>Certains membres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sont intéressés aux opinions des membres du GAC sur le fait de savoir s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il existe des tensions au niveau national entre les organismes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 xml:space="preserve">application de la loi et les objectifs de la politique publique quant à la vie privée. </w:t>
      </w:r>
    </w:p>
    <w:p w14:paraId="21F557A7" w14:textId="77777777" w:rsidR="001019E4" w:rsidRPr="005F2CB8" w:rsidRDefault="001019E4" w:rsidP="001019E4">
      <w:pPr>
        <w:pStyle w:val="BodyText"/>
        <w:numPr>
          <w:ilvl w:val="0"/>
          <w:numId w:val="26"/>
        </w:numPr>
        <w:rPr>
          <w:b/>
          <w:color w:val="2E74B5"/>
        </w:rPr>
      </w:pPr>
      <w:r>
        <w:rPr>
          <w:rStyle w:val="BodyText"/>
          <w:b/>
          <w:color w:val="2E74B5"/>
        </w:rPr>
        <w:t>Piste de travail 5 : noms géographiques</w:t>
      </w:r>
    </w:p>
    <w:p w14:paraId="5C30767C" w14:textId="77777777" w:rsidR="001019E4" w:rsidRDefault="001019E4" w:rsidP="001019E4">
      <w:pPr>
        <w:pStyle w:val="BodyText"/>
      </w:pPr>
      <w:r>
        <w:rPr>
          <w:rStyle w:val="BodyText"/>
        </w:rPr>
        <w:t>Voir le document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information séparé pour le GAC au point 6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ordre du jour. Les questions seront plus élaborées au moment de la réunion avec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ALAC.</w:t>
      </w:r>
    </w:p>
    <w:p w14:paraId="4A3E6490" w14:textId="77777777" w:rsidR="001019E4" w:rsidRDefault="001019E4" w:rsidP="001019E4">
      <w:pPr>
        <w:pStyle w:val="BodyText"/>
      </w:pPr>
      <w:r>
        <w:rPr>
          <w:rStyle w:val="BodyText"/>
        </w:rPr>
        <w:t>Le GAC et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souhaitent peut-être examiner les options de soutien mutuel dans le but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optimiser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utilisation de la participation au cours des réunions et dans les échanges en ligne sur la piste de travail 5.  Par exemple,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échange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opinions entre les participants du GAC et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avant les réunions et le partage du travail pour le suivi des questions particulières.</w:t>
      </w:r>
    </w:p>
    <w:p w14:paraId="56A4C945" w14:textId="77777777" w:rsidR="001019E4" w:rsidRPr="005F2CB8" w:rsidRDefault="001019E4" w:rsidP="001019E4">
      <w:pPr>
        <w:pStyle w:val="ListParagraph"/>
        <w:numPr>
          <w:ilvl w:val="0"/>
          <w:numId w:val="26"/>
        </w:numPr>
        <w:spacing w:line="360" w:lineRule="auto"/>
        <w:ind w:right="544"/>
        <w:contextualSpacing/>
        <w:rPr>
          <w:b/>
          <w:color w:val="2E74B5"/>
          <w:szCs w:val="20"/>
        </w:rPr>
      </w:pPr>
      <w:r>
        <w:rPr>
          <w:rStyle w:val="ListParagraph"/>
          <w:b/>
          <w:color w:val="2E74B5"/>
        </w:rPr>
        <w:t>Déclaration conjointe GAC-ALAC.</w:t>
      </w:r>
    </w:p>
    <w:p w14:paraId="0ACA378F" w14:textId="77777777" w:rsidR="001019E4" w:rsidRDefault="001019E4" w:rsidP="001019E4">
      <w:pPr>
        <w:pStyle w:val="BodyText"/>
        <w:ind w:right="545"/>
      </w:pPr>
      <w:r>
        <w:rPr>
          <w:rStyle w:val="BodyText"/>
        </w:rPr>
        <w:lastRenderedPageBreak/>
        <w:t xml:space="preserve">La </w:t>
      </w:r>
      <w:hyperlink r:id="rId8" w:history="1">
        <w:r>
          <w:rPr>
            <w:rStyle w:val="Hyperlink"/>
          </w:rPr>
          <w:t>réponse du Conseil d’administration</w:t>
        </w:r>
      </w:hyperlink>
      <w:r>
        <w:rPr>
          <w:rStyle w:val="BodyText"/>
        </w:rPr>
        <w:t xml:space="preserve"> à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avis du GAC et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transmettant la déclaration conjointe dit essentiellement que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organisation ICANN applique déjà, ou prévoit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appliquer, toutes les mesures proposées par le GAC et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ALAC.</w:t>
      </w:r>
      <w:r>
        <w:t xml:space="preserve"> </w:t>
      </w:r>
      <w:r>
        <w:rPr>
          <w:rStyle w:val="BodyText"/>
        </w:rPr>
        <w:t xml:space="preserve"> Ce point est discutable. Toutefois, le suivi de cette question n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 pas été une priorité pour le GAC.</w:t>
      </w:r>
    </w:p>
    <w:p w14:paraId="0AC2141D" w14:textId="77777777" w:rsidR="001019E4" w:rsidRPr="00CD7475" w:rsidRDefault="001019E4" w:rsidP="001019E4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Style w:val="Normal"/>
          <w:rFonts w:ascii="Century Gothic" w:hAnsi="Century Gothic"/>
          <w:sz w:val="20"/>
        </w:rPr>
        <w:t>L</w:t>
      </w:r>
      <w:r>
        <w:rPr>
          <w:rStyle w:val="Normal"/>
          <w:rFonts w:ascii="Century Gothic" w:hAnsi="Century Gothic" w:cs="Century Gothic"/>
          <w:sz w:val="20"/>
          <w:cs/>
        </w:rPr>
        <w:t>’</w:t>
      </w:r>
      <w:r>
        <w:rPr>
          <w:rStyle w:val="Normal"/>
          <w:rFonts w:ascii="Century Gothic" w:hAnsi="Century Gothic"/>
          <w:sz w:val="20"/>
        </w:rPr>
        <w:t>ALAC peut demander l</w:t>
      </w:r>
      <w:r>
        <w:rPr>
          <w:rStyle w:val="Normal"/>
          <w:rFonts w:ascii="Century Gothic" w:hAnsi="Century Gothic" w:cs="Century Gothic"/>
          <w:sz w:val="20"/>
          <w:cs/>
        </w:rPr>
        <w:t>’</w:t>
      </w:r>
      <w:r>
        <w:rPr>
          <w:rStyle w:val="Normal"/>
          <w:rFonts w:ascii="Century Gothic" w:hAnsi="Century Gothic"/>
          <w:sz w:val="20"/>
        </w:rPr>
        <w:t xml:space="preserve">opinion du GAC sur la mesure dans laquelle </w:t>
      </w:r>
      <w:hyperlink r:id="rId9" w:history="1">
        <w:r>
          <w:rPr>
            <w:rStyle w:val="Hyperlink"/>
            <w:rFonts w:ascii="Century Gothic" w:hAnsi="Century Gothic"/>
            <w:sz w:val="20"/>
          </w:rPr>
          <w:t>l’initiative relative à la transparence des informations</w:t>
        </w:r>
      </w:hyperlink>
      <w:r>
        <w:rPr>
          <w:rStyle w:val="Normal"/>
          <w:rFonts w:ascii="Century Gothic" w:hAnsi="Century Gothic"/>
          <w:sz w:val="20"/>
        </w:rPr>
        <w:t xml:space="preserve"> (ITI) est une étape utile vers les objectifs de la déclaration conjointe. L</w:t>
      </w:r>
      <w:r>
        <w:rPr>
          <w:rStyle w:val="Normal"/>
          <w:rFonts w:ascii="Century Gothic" w:hAnsi="Century Gothic" w:cs="Century Gothic"/>
          <w:sz w:val="20"/>
          <w:cs/>
        </w:rPr>
        <w:t>’</w:t>
      </w:r>
      <w:r>
        <w:rPr>
          <w:rStyle w:val="Normal"/>
          <w:rFonts w:ascii="Century Gothic" w:hAnsi="Century Gothic"/>
          <w:sz w:val="20"/>
        </w:rPr>
        <w:t xml:space="preserve">ITI </w:t>
      </w:r>
      <w:r>
        <w:rPr>
          <w:rStyle w:val="Normal"/>
          <w:rFonts w:ascii="Century Gothic" w:hAnsi="Century Gothic"/>
          <w:color w:val="000000"/>
          <w:sz w:val="20"/>
        </w:rPr>
        <w:t>se concentre sur l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>amélioration de l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>accès à et la repérabilité de l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>information publiée par l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>ICANN à travers la mise en œuvre d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>un premier système de gestion des documents (DMS) et l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 xml:space="preserve">application de la gestion des contenus. </w:t>
      </w:r>
      <w:r>
        <w:rPr>
          <w:rStyle w:val="Normal"/>
          <w:rFonts w:ascii="Century Gothic" w:hAnsi="Century Gothic"/>
          <w:sz w:val="20"/>
        </w:rPr>
        <w:t>L</w:t>
      </w:r>
      <w:r>
        <w:rPr>
          <w:rStyle w:val="Normal"/>
          <w:rFonts w:ascii="Century Gothic" w:hAnsi="Century Gothic" w:cs="Century Gothic"/>
          <w:sz w:val="20"/>
          <w:cs/>
        </w:rPr>
        <w:t>’</w:t>
      </w:r>
      <w:r>
        <w:rPr>
          <w:rStyle w:val="Normal"/>
          <w:rFonts w:ascii="Century Gothic" w:hAnsi="Century Gothic"/>
          <w:sz w:val="20"/>
        </w:rPr>
        <w:t>ITI</w:t>
      </w:r>
      <w:r>
        <w:rPr>
          <w:rStyle w:val="Normal"/>
        </w:rPr>
        <w:t xml:space="preserve"> </w:t>
      </w:r>
      <w:r>
        <w:rPr>
          <w:rStyle w:val="Normal"/>
          <w:rFonts w:ascii="Century Gothic" w:hAnsi="Century Gothic"/>
          <w:color w:val="000000"/>
          <w:sz w:val="20"/>
        </w:rPr>
        <w:t>commencera avec le contenu sur</w:t>
      </w:r>
      <w:hyperlink r:id="rId10" w:history="1">
        <w:r>
          <w:rPr>
            <w:rStyle w:val="Normal"/>
            <w:rFonts w:ascii="Century Gothic" w:hAnsi="Century Gothic"/>
            <w:color w:val="954F72"/>
            <w:sz w:val="20"/>
            <w:u w:val="single"/>
          </w:rPr>
          <w:t>https://www.icann.org</w:t>
        </w:r>
      </w:hyperlink>
      <w:r>
        <w:rPr>
          <w:rStyle w:val="Normal"/>
          <w:rFonts w:ascii="Century Gothic" w:hAnsi="Century Gothic"/>
          <w:color w:val="000000"/>
          <w:sz w:val="20"/>
        </w:rPr>
        <w:t>, qui comprend plus de 104 000 pages Web, des rapports, de la correspondance, des infographies, et des fichiers audio et vidéo. Le projet a été officiellement lancé en janvier 2018 et il est prévu que la transparence de l</w:t>
      </w:r>
      <w:r>
        <w:rPr>
          <w:rStyle w:val="Normal"/>
          <w:rFonts w:ascii="Century Gothic" w:hAnsi="Century Gothic" w:cs="Century Gothic"/>
          <w:color w:val="000000"/>
          <w:sz w:val="20"/>
          <w:cs/>
        </w:rPr>
        <w:t>’</w:t>
      </w:r>
      <w:r>
        <w:rPr>
          <w:rStyle w:val="Normal"/>
          <w:rFonts w:ascii="Century Gothic" w:hAnsi="Century Gothic"/>
          <w:color w:val="000000"/>
          <w:sz w:val="20"/>
        </w:rPr>
        <w:t>information et la recherche améliorée soient disponibles en décembre 2019.</w:t>
      </w:r>
    </w:p>
    <w:p w14:paraId="528A41A0" w14:textId="77777777" w:rsidR="001019E4" w:rsidRPr="00AD3D44" w:rsidRDefault="001019E4" w:rsidP="001019E4">
      <w:pPr>
        <w:pStyle w:val="BodyText"/>
        <w:ind w:right="545"/>
      </w:pPr>
      <w:r>
        <w:rPr>
          <w:rStyle w:val="BodyText"/>
        </w:rPr>
        <w:t>Le GAC a été informé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ITI par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 le 15 mai 2018, lors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un séminaire en ligne.</w:t>
      </w:r>
    </w:p>
    <w:p w14:paraId="1D046D98" w14:textId="77777777" w:rsidR="001019E4" w:rsidRPr="005F2CB8" w:rsidRDefault="001019E4" w:rsidP="001019E4">
      <w:pPr>
        <w:pStyle w:val="BodyText"/>
        <w:numPr>
          <w:ilvl w:val="0"/>
          <w:numId w:val="26"/>
        </w:numPr>
        <w:rPr>
          <w:b/>
          <w:color w:val="2E74B5"/>
          <w:szCs w:val="20"/>
        </w:rPr>
      </w:pPr>
      <w:r>
        <w:rPr>
          <w:rStyle w:val="BodyText"/>
          <w:b/>
          <w:color w:val="2E74B5"/>
        </w:rPr>
        <w:t>Piste de travail 2 du CCWG</w:t>
      </w:r>
    </w:p>
    <w:p w14:paraId="4DED2B39" w14:textId="77777777" w:rsidR="001019E4" w:rsidRDefault="001019E4" w:rsidP="001019E4">
      <w:pPr>
        <w:pStyle w:val="BodyText"/>
        <w:rPr>
          <w:szCs w:val="20"/>
        </w:rPr>
      </w:pPr>
      <w:r>
        <w:rPr>
          <w:rStyle w:val="BodyText"/>
        </w:rPr>
        <w:t>Voir le document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information séparé pour le GAC au point 25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ordre du jour.</w:t>
      </w:r>
    </w:p>
    <w:p w14:paraId="1E9FFCBB" w14:textId="77777777" w:rsidR="001019E4" w:rsidRDefault="001019E4" w:rsidP="001019E4">
      <w:pPr>
        <w:pStyle w:val="BodyText"/>
        <w:rPr>
          <w:szCs w:val="20"/>
        </w:rPr>
      </w:pPr>
      <w:r>
        <w:rPr>
          <w:rStyle w:val="BodyText"/>
        </w:rPr>
        <w:t>Le GAC et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peuvent vouloir partager les derniers développements en ce qui concerne leurs positions respectives en tant qu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organisations membres de ce CCWG.</w:t>
      </w:r>
    </w:p>
    <w:p w14:paraId="7AAF4F4C" w14:textId="77777777" w:rsidR="001019E4" w:rsidRDefault="001019E4" w:rsidP="001019E4">
      <w:pPr>
        <w:pStyle w:val="BodyText"/>
        <w:rPr>
          <w:szCs w:val="20"/>
        </w:rPr>
      </w:pPr>
      <w:r>
        <w:rPr>
          <w:rStyle w:val="BodyText"/>
        </w:rPr>
        <w:t>Le président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a exprimé sa préoccupation du fait que les recommandations auront un impact significatif sur les ressources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ICANN.</w:t>
      </w:r>
    </w:p>
    <w:p w14:paraId="32820DBF" w14:textId="77777777" w:rsidR="001019E4" w:rsidRPr="005F2CB8" w:rsidRDefault="001019E4" w:rsidP="001019E4">
      <w:pPr>
        <w:pStyle w:val="BodyText"/>
        <w:numPr>
          <w:ilvl w:val="0"/>
          <w:numId w:val="26"/>
        </w:numPr>
        <w:rPr>
          <w:b/>
          <w:color w:val="2E74B5"/>
          <w:szCs w:val="20"/>
        </w:rPr>
      </w:pPr>
      <w:r>
        <w:rPr>
          <w:rStyle w:val="BodyText"/>
          <w:b/>
          <w:color w:val="2E74B5"/>
        </w:rPr>
        <w:t>Révision indépendante de l</w:t>
      </w:r>
      <w:r>
        <w:rPr>
          <w:rStyle w:val="BodyText"/>
          <w:rFonts w:cs="Century Gothic"/>
          <w:b/>
          <w:color w:val="2E74B5"/>
          <w:cs/>
        </w:rPr>
        <w:t>’</w:t>
      </w:r>
      <w:r>
        <w:rPr>
          <w:rStyle w:val="BodyText"/>
          <w:b/>
          <w:color w:val="2E74B5"/>
        </w:rPr>
        <w:t>ALAC</w:t>
      </w:r>
    </w:p>
    <w:p w14:paraId="42562B08" w14:textId="77777777" w:rsidR="001019E4" w:rsidRDefault="001019E4" w:rsidP="001019E4">
      <w:pPr>
        <w:pStyle w:val="BodyText"/>
        <w:rPr>
          <w:szCs w:val="20"/>
        </w:rPr>
      </w:pPr>
      <w:r>
        <w:rPr>
          <w:rStyle w:val="BodyText"/>
        </w:rPr>
        <w:t>Toutes les SO et tous les AC, sauf le GAC, sont tenus de faire des révisions régulières de leurs arrangements structurels.</w:t>
      </w:r>
    </w:p>
    <w:p w14:paraId="7EBDB927" w14:textId="77777777" w:rsidR="001019E4" w:rsidRDefault="001019E4" w:rsidP="001019E4">
      <w:pPr>
        <w:pStyle w:val="BodyText"/>
        <w:rPr>
          <w:szCs w:val="20"/>
        </w:rPr>
      </w:pPr>
      <w:r>
        <w:rPr>
          <w:rStyle w:val="BodyText"/>
        </w:rPr>
        <w:t>La révision la plus récente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a causé une certaine controverse au sein de la communauté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ICANN car les dirigeants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n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acceptent pas plusieurs des recommandations.</w:t>
      </w:r>
    </w:p>
    <w:p w14:paraId="4F7518E9" w14:textId="77777777" w:rsidR="001019E4" w:rsidRPr="006E4234" w:rsidRDefault="001019E4" w:rsidP="001019E4">
      <w:pPr>
        <w:pStyle w:val="BodyText"/>
        <w:rPr>
          <w:szCs w:val="20"/>
        </w:rPr>
      </w:pPr>
      <w:r>
        <w:rPr>
          <w:rStyle w:val="BodyText"/>
        </w:rPr>
        <w:t>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peut fournir une mise à jour sur ce sujet.</w:t>
      </w:r>
    </w:p>
    <w:p w14:paraId="5A497357" w14:textId="77777777" w:rsidR="001019E4" w:rsidRDefault="001019E4" w:rsidP="001019E4">
      <w:pPr>
        <w:pStyle w:val="Heading2"/>
      </w:pPr>
      <w:r>
        <w:rPr>
          <w:rStyle w:val="Heading2"/>
        </w:rPr>
        <w:t>Position actuelle</w:t>
      </w:r>
    </w:p>
    <w:p w14:paraId="4EDAC27F" w14:textId="77777777" w:rsidR="001019E4" w:rsidRPr="00C917F9" w:rsidRDefault="001019E4" w:rsidP="001019E4">
      <w:pPr>
        <w:pStyle w:val="BodyText"/>
      </w:pPr>
      <w:r>
        <w:rPr>
          <w:rStyle w:val="BodyText"/>
        </w:rPr>
        <w:t>Le président actuel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est M Alan Greenberg.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agent de liaison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 auprès du GAC est M Yrjö Länsipuro.</w:t>
      </w:r>
    </w:p>
    <w:p w14:paraId="39645F93" w14:textId="77777777" w:rsidR="001019E4" w:rsidRDefault="001019E4" w:rsidP="001019E4">
      <w:pPr>
        <w:pStyle w:val="Heading2"/>
      </w:pPr>
      <w:r>
        <w:rPr>
          <w:rStyle w:val="Heading2"/>
        </w:rPr>
        <w:t>Informations complémentaires</w:t>
      </w:r>
    </w:p>
    <w:p w14:paraId="5AB35149" w14:textId="77777777" w:rsidR="001019E4" w:rsidRPr="00076811" w:rsidRDefault="001019E4" w:rsidP="001019E4">
      <w:pPr>
        <w:pStyle w:val="BodyText"/>
        <w:ind w:right="544"/>
      </w:pPr>
      <w:hyperlink r:id="rId11" w:history="1">
        <w:r>
          <w:rPr>
            <w:rStyle w:val="Hyperlink"/>
          </w:rPr>
          <w:t>Site Web</w:t>
        </w:r>
      </w:hyperlink>
      <w:r>
        <w:rPr>
          <w:rStyle w:val="BodyText"/>
        </w:rPr>
        <w:t xml:space="preserve">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ALAC.</w:t>
      </w:r>
    </w:p>
    <w:p w14:paraId="2C4230EB" w14:textId="77777777" w:rsidR="001019E4" w:rsidRPr="003000B4" w:rsidRDefault="001019E4" w:rsidP="001019E4">
      <w:pPr>
        <w:rPr>
          <w:sz w:val="20"/>
          <w:szCs w:val="20"/>
        </w:rPr>
      </w:pPr>
    </w:p>
    <w:p w14:paraId="025B6138" w14:textId="77777777" w:rsidR="001019E4" w:rsidRPr="00E016F8" w:rsidRDefault="001019E4" w:rsidP="001019E4">
      <w:pPr>
        <w:pStyle w:val="BodyText"/>
        <w:ind w:right="545"/>
      </w:pPr>
    </w:p>
    <w:p w14:paraId="06AD5D84" w14:textId="77777777" w:rsidR="001019E4" w:rsidRDefault="001019E4" w:rsidP="001019E4">
      <w:pPr>
        <w:pStyle w:val="BodyText"/>
        <w:ind w:right="545"/>
      </w:pPr>
    </w:p>
    <w:p w14:paraId="43E93EF6" w14:textId="77777777" w:rsidR="001019E4" w:rsidRDefault="001019E4" w:rsidP="001019E4">
      <w:pPr>
        <w:pStyle w:val="Heading2"/>
      </w:pPr>
    </w:p>
    <w:p w14:paraId="66214211" w14:textId="77777777" w:rsidR="001019E4" w:rsidRDefault="001019E4" w:rsidP="001019E4">
      <w:pPr>
        <w:pStyle w:val="Heading2"/>
      </w:pPr>
      <w:r>
        <w:rPr>
          <w:rStyle w:val="Heading2"/>
        </w:rPr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1019E4" w:rsidRPr="003F43E3" w14:paraId="17F04115" w14:textId="77777777" w:rsidTr="001019E4">
        <w:trPr>
          <w:trHeight w:val="294"/>
        </w:trPr>
        <w:tc>
          <w:tcPr>
            <w:tcW w:w="3261" w:type="dxa"/>
            <w:vAlign w:val="center"/>
          </w:tcPr>
          <w:p w14:paraId="24F06782" w14:textId="77777777" w:rsidR="001019E4" w:rsidRPr="00CD7475" w:rsidRDefault="001019E4" w:rsidP="001019E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35BFBE31" w14:textId="77777777" w:rsidR="001019E4" w:rsidRPr="00CD7475" w:rsidRDefault="001019E4" w:rsidP="001019E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Réunion avec le Comité consultatif At-Large (ALAC)</w:t>
            </w:r>
          </w:p>
        </w:tc>
      </w:tr>
      <w:tr w:rsidR="001019E4" w:rsidRPr="003F43E3" w14:paraId="2511EB6E" w14:textId="77777777" w:rsidTr="001019E4">
        <w:tc>
          <w:tcPr>
            <w:tcW w:w="3261" w:type="dxa"/>
            <w:vAlign w:val="center"/>
          </w:tcPr>
          <w:p w14:paraId="76FD8FF4" w14:textId="77777777" w:rsidR="001019E4" w:rsidRPr="00CD7475" w:rsidRDefault="001019E4" w:rsidP="001019E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78886EDC" w14:textId="77777777" w:rsidR="001019E4" w:rsidRPr="00CD7475" w:rsidRDefault="001019E4" w:rsidP="001019E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1019E4" w:rsidRPr="003F43E3" w14:paraId="4D7B04D1" w14:textId="77777777" w:rsidTr="001019E4">
        <w:trPr>
          <w:trHeight w:val="77"/>
        </w:trPr>
        <w:tc>
          <w:tcPr>
            <w:tcW w:w="3261" w:type="dxa"/>
            <w:vAlign w:val="center"/>
          </w:tcPr>
          <w:p w14:paraId="3B819807" w14:textId="77777777" w:rsidR="001019E4" w:rsidRPr="00CD7475" w:rsidRDefault="001019E4" w:rsidP="001019E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75B21FCD" w14:textId="77777777" w:rsidR="001019E4" w:rsidRPr="00CD7475" w:rsidRDefault="001019E4" w:rsidP="001019E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7 juin 2018</w:t>
            </w:r>
          </w:p>
        </w:tc>
      </w:tr>
    </w:tbl>
    <w:p w14:paraId="03749DD2" w14:textId="77777777" w:rsidR="001019E4" w:rsidRPr="00D57B30" w:rsidRDefault="001019E4" w:rsidP="001019E4">
      <w:pPr>
        <w:pStyle w:val="BodyText"/>
        <w:ind w:right="545"/>
      </w:pPr>
    </w:p>
    <w:sectPr w:rsidR="001019E4" w:rsidRPr="00D57B30" w:rsidSect="001019E4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0F9C" w14:textId="77777777" w:rsidR="00045EDA" w:rsidRDefault="00045EDA" w:rsidP="001019E4">
      <w:r>
        <w:separator/>
      </w:r>
    </w:p>
  </w:endnote>
  <w:endnote w:type="continuationSeparator" w:id="0">
    <w:p w14:paraId="69DA05AE" w14:textId="77777777" w:rsidR="00045EDA" w:rsidRDefault="00045EDA" w:rsidP="001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5417" w14:textId="77777777" w:rsidR="001019E4" w:rsidRDefault="001019E4" w:rsidP="001019E4">
    <w:pPr>
      <w:pStyle w:val="Footer"/>
      <w:ind w:left="-567" w:right="261"/>
    </w:pPr>
  </w:p>
  <w:p w14:paraId="42EEC734" w14:textId="77777777" w:rsidR="001019E4" w:rsidRPr="00B026C8" w:rsidRDefault="001019E4" w:rsidP="001019E4">
    <w:pPr>
      <w:pBdr>
        <w:top w:val="single" w:sz="18" w:space="1" w:color="1F497D"/>
      </w:pBdr>
      <w:spacing w:before="240"/>
      <w:ind w:right="545"/>
      <w:rPr>
        <w:color w:val="00408E"/>
      </w:rPr>
    </w:pPr>
    <w:r>
      <w:rPr>
        <w:rStyle w:val="Normal"/>
        <w:color w:val="00408E"/>
        <w:sz w:val="16"/>
      </w:rPr>
      <w:t xml:space="preserve">   </w:t>
    </w:r>
    <w:r>
      <w:rPr>
        <w:rStyle w:val="Normal"/>
        <w:color w:val="00408E"/>
        <w:sz w:val="16"/>
      </w:rPr>
      <w:tab/>
      <w:t xml:space="preserve">                                                                                                                             </w:t>
    </w:r>
    <w:r>
      <w:rPr>
        <w:rStyle w:val="Normal"/>
        <w:color w:val="00408E"/>
        <w:sz w:val="16"/>
      </w:rPr>
      <w:tab/>
    </w:r>
    <w:r>
      <w:rPr>
        <w:rStyle w:val="Normal"/>
        <w:color w:val="00408E"/>
        <w:sz w:val="16"/>
      </w:rPr>
      <w:tab/>
    </w:r>
    <w:r>
      <w:rPr>
        <w:rStyle w:val="Normal"/>
        <w:color w:val="00408E"/>
        <w:sz w:val="16"/>
      </w:rPr>
      <w:tab/>
      <w:t xml:space="preserve">      Page </w:t>
    </w:r>
    <w:r>
      <w:rPr>
        <w:rStyle w:val="Normal"/>
        <w:color w:val="00408E"/>
        <w:sz w:val="16"/>
      </w:rPr>
      <w:fldChar w:fldCharType="begin"/>
    </w:r>
    <w:r>
      <w:rPr>
        <w:rStyle w:val="Normal"/>
        <w:color w:val="00408E"/>
        <w:sz w:val="16"/>
      </w:rPr>
      <w:instrText xml:space="preserve"> PAGE </w:instrText>
    </w:r>
    <w:r>
      <w:rPr>
        <w:rStyle w:val="Normal"/>
        <w:color w:val="00408E"/>
        <w:sz w:val="16"/>
      </w:rPr>
      <w:fldChar w:fldCharType="separate"/>
    </w:r>
    <w:r>
      <w:rPr>
        <w:rStyle w:val="Normal"/>
        <w:color w:val="00408E"/>
        <w:sz w:val="16"/>
      </w:rPr>
      <w:t>1</w:t>
    </w:r>
    <w:r>
      <w:rPr>
        <w:rStyle w:val="Normal"/>
        <w:color w:val="00408E"/>
        <w:sz w:val="16"/>
      </w:rPr>
      <w:fldChar w:fldCharType="end"/>
    </w:r>
    <w:r>
      <w:rPr>
        <w:rStyle w:val="Normal"/>
        <w:color w:val="00408E"/>
        <w:sz w:val="16"/>
      </w:rPr>
      <w:t xml:space="preserve"> sur </w:t>
    </w:r>
    <w:r>
      <w:rPr>
        <w:rStyle w:val="Normal"/>
        <w:color w:val="00408E"/>
        <w:sz w:val="16"/>
      </w:rPr>
      <w:fldChar w:fldCharType="begin"/>
    </w:r>
    <w:r>
      <w:rPr>
        <w:rStyle w:val="Normal"/>
        <w:color w:val="00408E"/>
        <w:sz w:val="16"/>
      </w:rPr>
      <w:instrText xml:space="preserve"> NUMPAGES  </w:instrText>
    </w:r>
    <w:r>
      <w:rPr>
        <w:rStyle w:val="Normal"/>
        <w:color w:val="00408E"/>
        <w:sz w:val="16"/>
      </w:rPr>
      <w:fldChar w:fldCharType="separate"/>
    </w:r>
    <w:r>
      <w:rPr>
        <w:rStyle w:val="Normal"/>
        <w:color w:val="00408E"/>
        <w:sz w:val="16"/>
      </w:rPr>
      <w:t>3</w:t>
    </w:r>
    <w:r>
      <w:rPr>
        <w:rStyle w:val="Normal"/>
        <w:color w:val="00408E"/>
        <w:sz w:val="16"/>
      </w:rPr>
      <w:fldChar w:fldCharType="end"/>
    </w:r>
  </w:p>
  <w:p w14:paraId="5D5CEF5B" w14:textId="77777777" w:rsidR="001019E4" w:rsidRPr="000C0FD7" w:rsidRDefault="001019E4" w:rsidP="001019E4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0E85" w14:textId="77777777" w:rsidR="001019E4" w:rsidRPr="00C2562C" w:rsidRDefault="001019E4" w:rsidP="001019E4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0E8DEA99" w14:textId="77777777" w:rsidR="001019E4" w:rsidRPr="008418C6" w:rsidRDefault="001019E4" w:rsidP="001019E4">
    <w:pPr>
      <w:pStyle w:val="NoSpacing"/>
      <w:ind w:right="544"/>
      <w:jc w:val="right"/>
      <w:rPr>
        <w:sz w:val="16"/>
        <w:szCs w:val="16"/>
        <w:lang w:val="en-US"/>
      </w:rPr>
    </w:pPr>
    <w:r w:rsidRPr="008418C6">
      <w:rPr>
        <w:rStyle w:val="NoSpacing"/>
        <w:sz w:val="16"/>
        <w:lang w:val="en-US"/>
      </w:rPr>
      <w:t xml:space="preserve">203 Drummond Street, Carlton VIC 3053 </w:t>
    </w:r>
  </w:p>
  <w:p w14:paraId="756DA0CF" w14:textId="77777777" w:rsidR="001019E4" w:rsidRPr="008418C6" w:rsidRDefault="001019E4" w:rsidP="001019E4">
    <w:pPr>
      <w:pStyle w:val="NoSpacing"/>
      <w:ind w:right="544"/>
      <w:jc w:val="right"/>
      <w:rPr>
        <w:sz w:val="16"/>
        <w:szCs w:val="16"/>
        <w:lang w:val="en-US"/>
      </w:rPr>
    </w:pPr>
    <w:r w:rsidRPr="008418C6">
      <w:rPr>
        <w:rStyle w:val="NoSpacing"/>
        <w:sz w:val="16"/>
        <w:lang w:val="en-US"/>
      </w:rPr>
      <w:t>03 9650 7222</w:t>
    </w:r>
  </w:p>
  <w:p w14:paraId="09BF0C01" w14:textId="77777777" w:rsidR="001019E4" w:rsidRPr="008418C6" w:rsidRDefault="001019E4" w:rsidP="001019E4">
    <w:pPr>
      <w:pStyle w:val="NoSpacing"/>
      <w:ind w:right="544"/>
      <w:jc w:val="right"/>
      <w:rPr>
        <w:sz w:val="16"/>
        <w:szCs w:val="16"/>
        <w:lang w:val="en-US"/>
      </w:rPr>
    </w:pPr>
    <w:r w:rsidRPr="008418C6">
      <w:rPr>
        <w:rStyle w:val="NoSpacing"/>
        <w:sz w:val="16"/>
        <w:lang w:val="en-US"/>
      </w:rPr>
      <w:t xml:space="preserve">www.acig.com.au </w:t>
    </w:r>
  </w:p>
  <w:p w14:paraId="013C3DEF" w14:textId="77777777" w:rsidR="001019E4" w:rsidRPr="008418C6" w:rsidRDefault="001019E4" w:rsidP="001019E4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74B6" w14:textId="77777777" w:rsidR="00045EDA" w:rsidRDefault="00045EDA" w:rsidP="001019E4">
      <w:r>
        <w:separator/>
      </w:r>
    </w:p>
  </w:footnote>
  <w:footnote w:type="continuationSeparator" w:id="0">
    <w:p w14:paraId="11364D76" w14:textId="77777777" w:rsidR="00045EDA" w:rsidRDefault="00045EDA" w:rsidP="0010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193C" w14:textId="757FB1E5" w:rsidR="001019E4" w:rsidRDefault="004628FF" w:rsidP="001019E4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D12250" wp14:editId="296A7E65">
              <wp:simplePos x="0" y="0"/>
              <wp:positionH relativeFrom="column">
                <wp:posOffset>4276090</wp:posOffset>
              </wp:positionH>
              <wp:positionV relativeFrom="paragraph">
                <wp:posOffset>222885</wp:posOffset>
              </wp:positionV>
              <wp:extent cx="1600835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781E2C07" w14:textId="77777777" w:rsidR="001019E4" w:rsidRPr="00A12C22" w:rsidRDefault="001019E4" w:rsidP="001019E4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122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6.7pt;margin-top:17.55pt;width:126.0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" stroked="f">
              <v:textbox>
                <w:txbxContent>
                  <w:p w14:paraId="781E2C07" w14:textId="77777777" w:rsidR="001019E4" w:rsidRPr="00A12C22" w:rsidRDefault="001019E4" w:rsidP="001019E4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903225" wp14:editId="30CC2E22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9E4">
      <w:rPr>
        <w:rStyle w:val="Head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C43F" w14:textId="2CF3ED33" w:rsidR="001019E4" w:rsidRDefault="004628FF" w:rsidP="001019E4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30E08C22" wp14:editId="0400C78C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8BA"/>
    <w:multiLevelType w:val="hybridMultilevel"/>
    <w:tmpl w:val="2E9C7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13F57"/>
    <w:multiLevelType w:val="hybridMultilevel"/>
    <w:tmpl w:val="543A86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13F85"/>
    <w:multiLevelType w:val="hybridMultilevel"/>
    <w:tmpl w:val="15781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86682"/>
    <w:multiLevelType w:val="hybridMultilevel"/>
    <w:tmpl w:val="5948A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40349"/>
    <w:multiLevelType w:val="hybridMultilevel"/>
    <w:tmpl w:val="7EC496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0E6298"/>
    <w:multiLevelType w:val="hybridMultilevel"/>
    <w:tmpl w:val="7520B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7599"/>
    <w:multiLevelType w:val="hybridMultilevel"/>
    <w:tmpl w:val="7F0097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C1ED1"/>
    <w:multiLevelType w:val="hybridMultilevel"/>
    <w:tmpl w:val="F19C9ED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44E59"/>
    <w:multiLevelType w:val="hybridMultilevel"/>
    <w:tmpl w:val="D0A049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D03"/>
    <w:multiLevelType w:val="hybridMultilevel"/>
    <w:tmpl w:val="61CE97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6D90"/>
    <w:multiLevelType w:val="hybridMultilevel"/>
    <w:tmpl w:val="56E631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92D8F"/>
    <w:multiLevelType w:val="hybridMultilevel"/>
    <w:tmpl w:val="E3942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4613D"/>
    <w:multiLevelType w:val="hybridMultilevel"/>
    <w:tmpl w:val="61CE97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674624A6"/>
    <w:multiLevelType w:val="hybridMultilevel"/>
    <w:tmpl w:val="6D76D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7E4A"/>
    <w:multiLevelType w:val="hybridMultilevel"/>
    <w:tmpl w:val="73305EE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24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23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13"/>
  </w:num>
  <w:num w:numId="25">
    <w:abstractNumId w:val="27"/>
  </w:num>
  <w:num w:numId="26">
    <w:abstractNumId w:val="18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6"/>
    <w:rsid w:val="00045EDA"/>
    <w:rsid w:val="001019E4"/>
    <w:rsid w:val="004628FF"/>
    <w:rsid w:val="008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6E731"/>
  <w15:docId w15:val="{95524C92-15D7-442C-AE91-573E3C8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B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C917F9"/>
    <w:pPr>
      <w:keepNext/>
      <w:keepLines/>
      <w:ind w:right="544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917F9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eastAsia="MS Mincho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1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1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eastAsia="MS Mincho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entury Gothic" w:eastAsia="MS Mincho" w:hAnsi="Century Gothic"/>
    </w:rPr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DefaultParagraphFont"/>
    <w:rsid w:val="00EF5A3C"/>
  </w:style>
  <w:style w:type="character" w:styleId="Strong">
    <w:name w:val="Strong"/>
    <w:uiPriority w:val="22"/>
    <w:qFormat/>
    <w:rsid w:val="00EF5A3C"/>
    <w:rPr>
      <w:b/>
      <w:bCs/>
      <w:lang w:val="fr-FR" w:eastAsia="fr-FR"/>
    </w:rPr>
  </w:style>
  <w:style w:type="character" w:styleId="FollowedHyperlink">
    <w:name w:val="FollowedHyperlink"/>
    <w:uiPriority w:val="99"/>
    <w:semiHidden/>
    <w:unhideWhenUsed/>
    <w:rsid w:val="00EF5A3C"/>
    <w:rPr>
      <w:color w:val="954F72"/>
      <w:u w:val="single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7678"/>
    <w:rPr>
      <w:rFonts w:ascii="Courier" w:hAnsi="Courier" w:cs="Courier"/>
      <w:lang w:val="fr-FR" w:eastAsia="fr-FR"/>
    </w:rPr>
  </w:style>
  <w:style w:type="character" w:styleId="UnresolvedMention">
    <w:name w:val="Unresolved Mention"/>
    <w:uiPriority w:val="99"/>
    <w:rsid w:val="00F2275F"/>
    <w:rPr>
      <w:color w:val="80808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resolutions-abudhabi60-gac-advice-scorecard-04feb18-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large.ican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news/blog/the-information-transparency-initiative-iti-feedback-site-is-now-liv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E994-8CF2-4EC0-8C28-BD85515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4697</CharactersWithSpaces>
  <SharedDoc>false</SharedDoc>
  <HLinks>
    <vt:vector size="24" baseType="variant"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https://atlarge.icann.org/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https://www.icann.org/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https://www.icann.org/news/blog/the-information-transparency-initiative-iti-feedback-site-is-now-live</vt:lpwstr>
      </vt:variant>
      <vt:variant>
        <vt:lpwstr/>
      </vt:variant>
      <vt:variant>
        <vt:i4>3932287</vt:i4>
      </vt:variant>
      <vt:variant>
        <vt:i4>0</vt:i4>
      </vt:variant>
      <vt:variant>
        <vt:i4>0</vt:i4>
      </vt:variant>
      <vt:variant>
        <vt:i4>5</vt:i4>
      </vt:variant>
      <vt:variant>
        <vt:lpwstr>https://www.icann.org/en/system/files/files/resolutions-abudhabi60-gac-advice-scorecard-04feb18-en.pdf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2018-06-21T20:58:00Z</dcterms:created>
  <dcterms:modified xsi:type="dcterms:W3CDTF">2018-06-21T20:58:00Z</dcterms:modified>
</cp:coreProperties>
</file>